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0"/>
        <w:jc w:val="center"/>
        <w:shd w:val="clear" w:color="auto" w:fill="E8F0F7"/>
      </w:pPr>
      <w:r>
        <w:rPr>
          <w:b/>
          <w:color w:val="1B4965"/>
          <w:sz w:val="40"/>
        </w:rPr>
        <w:t>DDS  —  DIÁLOGO DIÁRIO DE SEGURANÇA</w:t>
      </w:r>
    </w:p>
    <w:p>
      <w:pPr>
        <w:spacing w:before="0" w:after="0"/>
        <w:jc w:val="center"/>
        <w:shd w:val="clear" w:color="auto" w:fill="1B4965"/>
      </w:pPr>
      <w:r>
        <w:rPr>
          <w:b/>
          <w:color w:val="FFFFFF"/>
          <w:sz w:val="36"/>
        </w:rPr>
        <w:t>ESTOCAGEM DE MATERIAIS EM PRATELEIRAS</w:t>
      </w:r>
    </w:p>
    <w:p>
      <w:pPr>
        <w:spacing w:before="0" w:after="200"/>
        <w:jc w:val="center"/>
        <w:shd w:val="clear" w:color="auto" w:fill="F0F4F8"/>
      </w:pPr>
      <w:r>
        <w:rPr>
          <w:color w:val="4A5568"/>
          <w:sz w:val="20"/>
        </w:rPr>
        <w:t>Data: ___/___/______     |     Facilitador: _______________________________     |     Duração: 10 min</w:t>
      </w:r>
    </w:p>
    <w:p>
      <w:pPr>
        <w:spacing w:before="80" w:after="160"/>
        <w:jc w:val="center"/>
      </w:pPr>
      <w:r>
        <w:drawing>
          <wp:inline xmlns:a="http://schemas.openxmlformats.org/drawingml/2006/main" xmlns:pic="http://schemas.openxmlformats.org/drawingml/2006/picture">
            <wp:extent cx="5303520" cy="289282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89282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color w:val="9E9E9E"/>
          <w:sz w:val="18"/>
        </w:rPr>
        <w:t>[Imagem ilustrativa não disponível]</w:t>
      </w:r>
    </w:p>
    <w:p>
      <w:pPr>
        <w:shd w:val="clear" w:color="auto" w:fill="1B4965"/>
        <w:spacing w:before="320" w:after="160"/>
      </w:pPr>
      <w:r>
        <w:rPr>
          <w:b/>
          <w:color w:val="FFFFFF"/>
          <w:sz w:val="24"/>
        </w:rPr>
        <w:t xml:space="preserve">   CASO REAL  ·  2 min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Ricardo tinha 34 anos, era estoquista há quase uma década e conhecia o depósito como a palma da mão. Naquela tarde de quarta-feira, o movimento estava intenso e o setor de recebimento havia acumulado caixas de tintas e solventes que precisavam ser guardadas com urgência. Sem tempo para reorganizar as prateleiras corretamente, Ricardo empilhou as caixas mais pesadas nos andares de cima, como sempre fazia quando a pressa batia. O corredor estava apertado, havia uma palete mal posicionada no chão, mas ele conhecia o caminho de olhos fechados. Ao pegar uma caixa no terceiro nível, o peso desequilibrado da prateleira cedeu de repente. Uma fileira de caixas com 18 kg cada veio abaixo. Ricardo não teve tempo de desviar. O impacto quebrou dois ossos do antebraço esquerdo, e um dos recipientes de solvente abriu, espalhando produto químico pelo chão e em seu rosto. Ele ficou três meses afastado. A empresa parou, o setor foi autuado, e os colegas que testemunharam o acidente carregaram aquela imagem por muito tempo. Tudo por conta de uma prática corriqueira que parecia inofensiva: guardar material pesado em cima só para ganhar tempo.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---</w:t>
      </w:r>
    </w:p>
    <w:p>
      <w:pPr>
        <w:shd w:val="clear" w:color="auto" w:fill="1B4965"/>
        <w:spacing w:before="320" w:after="160"/>
      </w:pPr>
      <w:r>
        <w:rPr>
          <w:b/>
          <w:color w:val="FFFFFF"/>
          <w:sz w:val="24"/>
        </w:rPr>
        <w:t xml:space="preserve">   INTRODUÇÃO AO TEMA  ·  2 min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A estocagem inadequada em prateleiras é uma das principais causas de acidentes em depósitos, almoxarifados e setores de produção no Brasil. Segundo o Observatório de Segurança e Saúde no Trabalho, quedas de objetos estocados incorretamente estão entre os acidentes com maior frequência em ambientes de armazenagem. A NR-11 (Transporte, Movimentação, Armazenagem e Manuseio de Materiais) estabelece critérios obrigatórios para o armazenamento seguro de materiais, incluindo limites de carga, sinalização e organização. Ignorar essas regras coloca em risco não só quem armazena, mas toda a equipe que circula pelo setor.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---</w:t>
      </w:r>
    </w:p>
    <w:p>
      <w:pPr>
        <w:shd w:val="clear" w:color="auto" w:fill="1B4965"/>
        <w:spacing w:before="320" w:after="160"/>
      </w:pPr>
      <w:r>
        <w:rPr>
          <w:b/>
          <w:color w:val="FFFFFF"/>
          <w:sz w:val="24"/>
        </w:rPr>
        <w:t xml:space="preserve">   PONTOS PRINCIPAIS  ·  3 min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Materiais pesados ficam embaixo, leves em cima**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A distribuição do peso nas prateleiras deve seguir a lógica da gravidade: quanto mais pesado, mais baixo. Isso reduz o risco de tombamento e facilita o manuseio com segurança.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Respeite a capacidade máxima da prateleira**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Toda prateleira tem uma carga máxima indicada pelo fabricante. Ultrapassar esse limite, mesmo que pareça estável, aumenta o risco de colapso sem aviso prévio.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Mantenha as prateleiras organizadas e acessíveis**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Corredores bloqueados e materiais em locais improvisados transformam o estoque em uma armadilha. O acesso deve ser livre, sem obstáculos no chão e com espaço suficiente para movimentação segura.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Verifique a integridade das estruturas regularmente**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Prateleiras com parafusos frouxos, soldas rachadas ou suportes dobrados devem ser interditadas e reparadas imediatamente. Uma inspeção rápida antes de começar o turno pode evitar um acidente grave.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Use os EPIs e ferramentas adequadas para alcançar alturas**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Nunca suba em prateleiras, caixas ou cadeiras improvisadas para pegar ou guardar material. Use escadas seguras, plataformas ou solicite apoio — a economia de tempo não vale o risco de uma queda.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---</w:t>
      </w:r>
    </w:p>
    <w:p>
      <w:pPr>
        <w:shd w:val="clear" w:color="auto" w:fill="2E7D32"/>
        <w:spacing w:before="320" w:after="160"/>
      </w:pPr>
      <w:r>
        <w:rPr>
          <w:b/>
          <w:color w:val="FFFFFF"/>
          <w:sz w:val="24"/>
        </w:rPr>
        <w:t xml:space="preserve">   DISCUSSÃO INTERATIVA  ·  2 min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Você já presenciou ou soube de alguma situação em que a organização do estoque contribuiu para um quase acidente ou incidente? O que aconteceu?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No dia a dia aqui no setor, existe algum ponto nas prateleiras que você considera mais arriscado? Por quê?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Quando a correria do trabalho bate, como a equipe pode se organizar para não comprometer a segurança na hora de guardar materiais?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---</w:t>
      </w:r>
    </w:p>
    <w:p>
      <w:pPr>
        <w:shd w:val="clear" w:color="auto" w:fill="C62828"/>
        <w:spacing w:before="320" w:after="160"/>
      </w:pPr>
      <w:r>
        <w:rPr>
          <w:b/>
          <w:color w:val="FFFFFF"/>
          <w:sz w:val="24"/>
        </w:rPr>
        <w:t xml:space="preserve">   CONCLUSÃO E COMPROMISSO  ·  1 min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Guardar material de forma segura não é burocracia nem perda de tempo — é respeito pela própria vida e pela vida de quem trabalha ao lado. Cada caixa fora do lugar, cada prateleira sobrecarregada é um risco real esperando o momento certo para virar acidente. A partir de hoje, o compromisso de cada um é olhar para o estoque como parte do trabalho, não como detalhe.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 xml:space="preserve">&gt; </w:t>
      </w:r>
      <w:r>
        <w:rPr>
          <w:b/>
          <w:sz w:val="22"/>
        </w:rPr>
        <w:t>"Um ambiente organizado não é só mais eficiente — é um ambiente onde todo mundo volta pra casa inteiro."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---</w:t>
      </w:r>
    </w:p>
    <w:p>
      <w:pPr>
        <w:shd w:val="clear" w:color="auto" w:fill="37474F"/>
        <w:spacing w:before="320" w:after="160"/>
      </w:pPr>
      <w:r>
        <w:rPr>
          <w:b/>
          <w:color w:val="FFFFFF"/>
          <w:sz w:val="24"/>
        </w:rPr>
        <w:t xml:space="preserve">   PARTICIPANTES</w:t>
      </w:r>
    </w:p>
    <w:p>
      <w:pPr>
        <w:spacing w:after="120" w:before="40" w:line="360" w:lineRule="exact"/>
        <w:ind w:left="288"/>
      </w:pPr>
      <w:r>
        <w:rPr>
          <w:b w:val="0"/>
          <w:sz w:val="22"/>
        </w:rPr>
        <w:t>Nome: _______________ | Assinatura: _______________</w:t>
      </w:r>
    </w:p>
    <w:p>
      <w:pPr>
        <w:spacing w:after="120" w:before="40" w:line="360" w:lineRule="exact"/>
        <w:ind w:left="288"/>
      </w:pPr>
      <w:r>
        <w:rPr>
          <w:b w:val="0"/>
          <w:sz w:val="22"/>
        </w:rPr>
        <w:t>Nome: _______________ | Assinatura: _______________</w:t>
      </w:r>
    </w:p>
    <w:p>
      <w:pPr>
        <w:spacing w:after="120" w:before="40" w:line="360" w:lineRule="exact"/>
        <w:ind w:left="288"/>
      </w:pPr>
      <w:r>
        <w:rPr>
          <w:b w:val="0"/>
          <w:sz w:val="22"/>
        </w:rPr>
        <w:t>Nome: _______________ | Assinatura: _______________</w:t>
      </w:r>
    </w:p>
    <w:p>
      <w:pPr>
        <w:spacing w:after="120" w:before="40" w:line="360" w:lineRule="exact"/>
        <w:ind w:left="288"/>
      </w:pPr>
      <w:r>
        <w:rPr>
          <w:b w:val="0"/>
          <w:sz w:val="22"/>
        </w:rPr>
        <w:t>Nome: _______________ | Assinatura: _______________</w:t>
      </w:r>
    </w:p>
    <w:p>
      <w:pPr>
        <w:spacing w:after="120" w:before="40" w:line="360" w:lineRule="exact"/>
        <w:ind w:left="288"/>
      </w:pPr>
      <w:r>
        <w:rPr>
          <w:b w:val="0"/>
          <w:sz w:val="22"/>
        </w:rPr>
        <w:t>Nome: _______________ | Assinatura: _______________</w:t>
      </w:r>
    </w:p>
    <w:p>
      <w:pPr>
        <w:spacing w:after="120" w:before="40" w:line="360" w:lineRule="exact"/>
        <w:ind w:left="288"/>
      </w:pPr>
      <w:r>
        <w:rPr>
          <w:b w:val="0"/>
          <w:sz w:val="22"/>
        </w:rPr>
        <w:t>Nome: _______________ | Assinatura: _______________</w:t>
      </w:r>
    </w:p>
    <w:p>
      <w:pPr>
        <w:spacing w:after="120" w:before="40" w:line="360" w:lineRule="exact"/>
        <w:ind w:left="288"/>
      </w:pPr>
      <w:r>
        <w:rPr>
          <w:b w:val="0"/>
          <w:sz w:val="22"/>
        </w:rPr>
        <w:t>Nome: _______________ | Assinatura: _______________</w:t>
      </w:r>
    </w:p>
    <w:p>
      <w:pPr>
        <w:spacing w:after="120" w:before="40" w:line="360" w:lineRule="exact"/>
        <w:ind w:left="288"/>
      </w:pPr>
      <w:r>
        <w:rPr>
          <w:b w:val="0"/>
          <w:sz w:val="22"/>
        </w:rPr>
        <w:t>Nome: _______________ | Assinatura: _______________</w:t>
      </w:r>
    </w:p>
    <w:p>
      <w:pPr>
        <w:spacing w:after="120" w:before="40" w:line="360" w:lineRule="exact"/>
        <w:ind w:left="288"/>
      </w:pPr>
      <w:r>
        <w:rPr>
          <w:b w:val="0"/>
          <w:sz w:val="22"/>
        </w:rPr>
        <w:t>Nome: _______________ | Assinatura: _______________</w:t>
      </w:r>
    </w:p>
    <w:p>
      <w:pPr>
        <w:spacing w:after="120" w:before="40" w:line="360" w:lineRule="exact"/>
        <w:ind w:left="288"/>
      </w:pPr>
      <w:r>
        <w:rPr>
          <w:b w:val="0"/>
          <w:sz w:val="22"/>
        </w:rPr>
        <w:t>Nome: _______________ | Assinatura: _______________</w:t>
      </w:r>
    </w:p>
    <w:p>
      <w:pPr>
        <w:spacing w:before="240" w:after="80"/>
        <w:pBdr>
          <w:top w:val="single" w:sz="4" w:space="1" w:color="AAAAAA"/>
        </w:pBdr>
      </w:pPr>
    </w:p>
    <w:p>
      <w:pPr>
        <w:spacing w:before="0" w:after="40"/>
      </w:pPr>
      <w:r>
        <w:rPr>
          <w:b/>
          <w:i/>
          <w:color w:val="666666"/>
          <w:sz w:val="17"/>
        </w:rPr>
        <w:t>NOTAS SOBRE O USO</w:t>
      </w:r>
    </w:p>
    <w:p>
      <w:pPr>
        <w:spacing w:before="0" w:after="40"/>
      </w:pPr>
      <w:r>
        <w:rPr>
          <w:i/>
          <w:color w:val="666666"/>
          <w:sz w:val="16"/>
        </w:rPr>
        <w:t>O conteúdo deste DDS é conceitual e serve como orientação inicial. Cabe aos profissionais de SMS e líderes adaptarem este material às particularidades de suas frentes de trabalho. A responsabilidade pela execução e direcionamento do diálogo cabe inteiramente ao condutor da atividade.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587" w:right="1247" w:bottom="1587" w:left="1247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160" w:after="80"/>
      <w:jc w:val="center"/>
      <w:pBdr>
        <w:top w:val="single" w:sz="6" w:space="4" w:color="1B4965"/>
      </w:pBdr>
    </w:pPr>
    <w:r>
      <w:rPr>
        <w:i/>
        <w:color w:val="1B4965"/>
        <w:sz w:val="18"/>
      </w:rPr>
      <w:t>https://sempresegurancadotrabalho.com.br/  —  Material gratuito para facilitadores de segurança  —  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80" w:after="160"/>
      <w:jc w:val="center"/>
      <w:pBdr>
        <w:bottom w:val="single" w:sz="6" w:space="4" w:color="1B4965"/>
      </w:pBdr>
    </w:pPr>
    <w:r>
      <w:rPr>
        <w:i/>
        <w:color w:val="1B4965"/>
        <w:sz w:val="18"/>
      </w:rPr>
      <w:t xml:space="preserve">  https://sempresegurancadotrabalho.com.br/  —  Segurança e Saúde no Trabalho  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